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841F9A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841F9A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53DA5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B53DA5">
        <w:rPr>
          <w:color w:val="auto"/>
          <w:sz w:val="28"/>
          <w:szCs w:val="28"/>
        </w:rPr>
        <w:t>Управления государственного автодорожного надзора</w:t>
      </w:r>
      <w:proofErr w:type="gramEnd"/>
      <w:r w:rsidR="00B53DA5">
        <w:rPr>
          <w:color w:val="auto"/>
          <w:sz w:val="28"/>
          <w:szCs w:val="28"/>
        </w:rPr>
        <w:t xml:space="preserve"> </w:t>
      </w:r>
    </w:p>
    <w:p w:rsidR="00BE074B" w:rsidRPr="00886043" w:rsidRDefault="00B53DA5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Камчатскому краю </w:t>
      </w:r>
      <w:r w:rsidR="00FD251A">
        <w:rPr>
          <w:color w:val="auto"/>
          <w:sz w:val="28"/>
          <w:szCs w:val="28"/>
        </w:rPr>
        <w:t xml:space="preserve">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BC523C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504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F258FD">
        <w:rPr>
          <w:sz w:val="28"/>
          <w:szCs w:val="28"/>
        </w:rPr>
        <w:t>Управлением государственного автодорожного надзора по Камчатскому краю</w:t>
      </w:r>
      <w:r w:rsidR="00BD4B8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F258FD" w:rsidRPr="00F258FD">
        <w:rPr>
          <w:sz w:val="28"/>
          <w:szCs w:val="28"/>
        </w:rPr>
        <w:t>Управления автодорожного надзора</w:t>
      </w:r>
      <w:r w:rsidR="00F258FD" w:rsidRPr="00CC4A4D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F258FD" w:rsidRDefault="00F258FD" w:rsidP="00F258FD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F258FD" w:rsidRPr="00F258FD">
        <w:rPr>
          <w:sz w:val="28"/>
          <w:szCs w:val="28"/>
        </w:rPr>
        <w:t>Управления автодорожного надзора</w:t>
      </w:r>
      <w:r w:rsidR="00F258FD"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F258FD" w:rsidRDefault="00F258FD" w:rsidP="00F258FD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Pr="00F258FD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Pr="00F258FD">
        <w:rPr>
          <w:sz w:val="28"/>
          <w:szCs w:val="28"/>
        </w:rPr>
        <w:t xml:space="preserve"> автодорожного надзора</w:t>
      </w:r>
      <w:r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не составлялись</w:t>
      </w:r>
      <w:r>
        <w:rPr>
          <w:sz w:val="28"/>
          <w:szCs w:val="28"/>
        </w:rPr>
        <w:t xml:space="preserve"> о чем отражено в текстовой части пояснительной записки.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r w:rsidR="00F258FD" w:rsidRPr="00F258FD">
        <w:rPr>
          <w:sz w:val="28"/>
          <w:szCs w:val="28"/>
        </w:rPr>
        <w:t>У</w:t>
      </w:r>
      <w:r w:rsidR="00F258FD">
        <w:rPr>
          <w:sz w:val="28"/>
          <w:szCs w:val="28"/>
        </w:rPr>
        <w:t>правлением</w:t>
      </w:r>
      <w:r w:rsidR="00F258FD" w:rsidRPr="00F258FD">
        <w:rPr>
          <w:sz w:val="28"/>
          <w:szCs w:val="28"/>
        </w:rPr>
        <w:t xml:space="preserve"> автодорожного надзора</w:t>
      </w:r>
      <w:r w:rsidR="00F258FD" w:rsidRPr="00CC4A4D">
        <w:rPr>
          <w:sz w:val="28"/>
          <w:szCs w:val="28"/>
        </w:rPr>
        <w:t xml:space="preserve"> </w:t>
      </w:r>
      <w:r w:rsidRPr="003507A8">
        <w:rPr>
          <w:sz w:val="28"/>
          <w:szCs w:val="28"/>
        </w:rPr>
        <w:t xml:space="preserve">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F258FD" w:rsidRPr="00F258FD">
        <w:rPr>
          <w:sz w:val="28"/>
          <w:szCs w:val="28"/>
        </w:rPr>
        <w:t>У</w:t>
      </w:r>
      <w:r w:rsidR="00F258FD">
        <w:rPr>
          <w:sz w:val="28"/>
          <w:szCs w:val="28"/>
        </w:rPr>
        <w:t>правлением</w:t>
      </w:r>
      <w:r w:rsidR="00F258FD" w:rsidRPr="00F258FD">
        <w:rPr>
          <w:sz w:val="28"/>
          <w:szCs w:val="28"/>
        </w:rPr>
        <w:t xml:space="preserve"> автодорожного надзора</w:t>
      </w:r>
      <w:r w:rsidR="00F258FD" w:rsidRPr="00CC4A4D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258FD" w:rsidRPr="003F23D1" w:rsidRDefault="00F258FD" w:rsidP="00F258FD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F23D1">
        <w:rPr>
          <w:b/>
          <w:color w:val="000000"/>
          <w:spacing w:val="2"/>
          <w:sz w:val="28"/>
          <w:szCs w:val="28"/>
        </w:rPr>
        <w:t>Баланс</w:t>
      </w:r>
      <w:r w:rsidRPr="003F23D1">
        <w:rPr>
          <w:color w:val="000000"/>
          <w:spacing w:val="2"/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F23D1">
        <w:rPr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Pr="003F23D1">
        <w:rPr>
          <w:b/>
          <w:sz w:val="28"/>
          <w:szCs w:val="28"/>
        </w:rPr>
        <w:t>.</w:t>
      </w:r>
    </w:p>
    <w:p w:rsidR="00F258FD" w:rsidRDefault="00F258FD" w:rsidP="00F25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F258FD" w:rsidRDefault="00F258FD" w:rsidP="00F258FD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>
        <w:rPr>
          <w:spacing w:val="1"/>
          <w:sz w:val="28"/>
          <w:szCs w:val="28"/>
        </w:rPr>
        <w:t>359,0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а на конец периода 815,0 тыс. рублей.</w:t>
      </w:r>
      <w:r w:rsidRPr="004640E4">
        <w:rPr>
          <w:spacing w:val="1"/>
          <w:sz w:val="28"/>
          <w:szCs w:val="28"/>
        </w:rPr>
        <w:t xml:space="preserve">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</w:t>
      </w:r>
      <w:r w:rsidRPr="00D337BD">
        <w:rPr>
          <w:color w:val="000000"/>
          <w:spacing w:val="-1"/>
          <w:sz w:val="28"/>
          <w:szCs w:val="28"/>
        </w:rPr>
        <w:lastRenderedPageBreak/>
        <w:t xml:space="preserve">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F258FD" w:rsidRDefault="007353EB" w:rsidP="003E1383">
      <w:pPr>
        <w:numPr>
          <w:ilvl w:val="0"/>
          <w:numId w:val="6"/>
        </w:num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F258FD">
        <w:rPr>
          <w:b/>
          <w:sz w:val="28"/>
          <w:szCs w:val="28"/>
        </w:rPr>
        <w:t>Отчет о финансовых результатах деятельности (ф. 0503121)</w:t>
      </w:r>
      <w:r w:rsidRPr="003538E1">
        <w:rPr>
          <w:rStyle w:val="ab"/>
          <w:b/>
          <w:sz w:val="28"/>
          <w:szCs w:val="28"/>
        </w:rPr>
        <w:footnoteReference w:id="9"/>
      </w:r>
      <w:r w:rsidR="00F258FD">
        <w:rPr>
          <w:sz w:val="28"/>
          <w:szCs w:val="28"/>
        </w:rPr>
        <w:t xml:space="preserve"> </w:t>
      </w:r>
      <w:r w:rsidR="00F258FD">
        <w:rPr>
          <w:color w:val="000000"/>
          <w:spacing w:val="1"/>
          <w:sz w:val="28"/>
          <w:szCs w:val="28"/>
        </w:rPr>
        <w:t>с</w:t>
      </w:r>
      <w:r w:rsidRPr="00F258FD">
        <w:rPr>
          <w:color w:val="000000"/>
          <w:spacing w:val="1"/>
          <w:sz w:val="28"/>
          <w:szCs w:val="28"/>
        </w:rPr>
        <w:t xml:space="preserve">огласно требованиям пунктов 92 - 99 Инструкции № 191н сформирован путем суммирования одноименных показателей по одинаковым строкам и графам.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3E1383">
        <w:rPr>
          <w:sz w:val="28"/>
          <w:szCs w:val="28"/>
        </w:rPr>
        <w:t>1</w:t>
      </w:r>
      <w:r w:rsidR="00F258FD">
        <w:rPr>
          <w:sz w:val="28"/>
          <w:szCs w:val="28"/>
        </w:rPr>
        <w:t>138</w:t>
      </w:r>
      <w:r w:rsidR="00207518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F258FD">
        <w:rPr>
          <w:sz w:val="28"/>
          <w:szCs w:val="28"/>
        </w:rPr>
        <w:t>600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F258FD">
        <w:rPr>
          <w:sz w:val="28"/>
          <w:szCs w:val="28"/>
        </w:rPr>
        <w:t>682</w:t>
      </w:r>
      <w:r w:rsidR="00207518">
        <w:rPr>
          <w:sz w:val="28"/>
          <w:szCs w:val="28"/>
        </w:rPr>
        <w:t>,</w:t>
      </w:r>
      <w:r w:rsidR="00F258F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F258FD">
        <w:rPr>
          <w:sz w:val="28"/>
          <w:szCs w:val="28"/>
        </w:rPr>
        <w:t>(-) 82,8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Pr="003507A8" w:rsidRDefault="00D337BD" w:rsidP="007353EB">
      <w:pPr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F258FD">
        <w:rPr>
          <w:sz w:val="28"/>
          <w:szCs w:val="28"/>
        </w:rPr>
        <w:t>600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Pr="003507A8">
        <w:rPr>
          <w:sz w:val="28"/>
          <w:szCs w:val="28"/>
        </w:rPr>
        <w:t>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F258FD">
        <w:rPr>
          <w:spacing w:val="11"/>
          <w:sz w:val="28"/>
          <w:szCs w:val="28"/>
        </w:rPr>
        <w:t>682</w:t>
      </w:r>
      <w:r w:rsidR="008F3A3D">
        <w:rPr>
          <w:spacing w:val="11"/>
          <w:sz w:val="28"/>
          <w:szCs w:val="28"/>
        </w:rPr>
        <w:t>,</w:t>
      </w:r>
      <w:r w:rsidR="00F258FD">
        <w:rPr>
          <w:spacing w:val="11"/>
          <w:sz w:val="28"/>
          <w:szCs w:val="28"/>
        </w:rPr>
        <w:t>8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F258FD">
        <w:rPr>
          <w:color w:val="000000"/>
          <w:sz w:val="28"/>
          <w:szCs w:val="28"/>
        </w:rPr>
        <w:t>82</w:t>
      </w:r>
      <w:r w:rsidR="00207518">
        <w:rPr>
          <w:color w:val="000000"/>
          <w:sz w:val="28"/>
          <w:szCs w:val="28"/>
        </w:rPr>
        <w:t>,</w:t>
      </w:r>
      <w:r w:rsidR="00F258FD">
        <w:rPr>
          <w:color w:val="000000"/>
          <w:sz w:val="28"/>
          <w:szCs w:val="28"/>
        </w:rPr>
        <w:t>8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F258FD">
        <w:rPr>
          <w:color w:val="000000"/>
          <w:sz w:val="28"/>
          <w:szCs w:val="28"/>
        </w:rPr>
        <w:t>боль</w:t>
      </w:r>
      <w:r w:rsidR="003E1383">
        <w:rPr>
          <w:color w:val="000000"/>
          <w:sz w:val="28"/>
          <w:szCs w:val="28"/>
        </w:rPr>
        <w:t>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 xml:space="preserve">по коду элемента бюджета «01» </w:t>
      </w:r>
      <w:r w:rsidR="00F258FD" w:rsidRPr="00F258FD">
        <w:rPr>
          <w:sz w:val="28"/>
          <w:szCs w:val="28"/>
        </w:rPr>
        <w:t>У</w:t>
      </w:r>
      <w:r w:rsidR="00F258FD">
        <w:rPr>
          <w:sz w:val="28"/>
          <w:szCs w:val="28"/>
        </w:rPr>
        <w:t>правлению</w:t>
      </w:r>
      <w:r w:rsidR="00F258FD" w:rsidRPr="00F258FD">
        <w:rPr>
          <w:sz w:val="28"/>
          <w:szCs w:val="28"/>
        </w:rPr>
        <w:t xml:space="preserve"> автодорожного надзора</w:t>
      </w:r>
      <w:r w:rsidR="00F258FD" w:rsidRPr="00CC4A4D">
        <w:rPr>
          <w:sz w:val="28"/>
          <w:szCs w:val="28"/>
        </w:rPr>
        <w:t xml:space="preserve"> </w:t>
      </w:r>
      <w:r w:rsidR="004D4554">
        <w:rPr>
          <w:sz w:val="28"/>
          <w:szCs w:val="28"/>
        </w:rPr>
        <w:t xml:space="preserve">утверждено бюджетных назначений на сумму </w:t>
      </w:r>
      <w:r w:rsidR="00F258FD">
        <w:rPr>
          <w:sz w:val="28"/>
          <w:szCs w:val="28"/>
        </w:rPr>
        <w:t>3,1</w:t>
      </w:r>
      <w:r w:rsidR="004D4554">
        <w:rPr>
          <w:sz w:val="28"/>
          <w:szCs w:val="28"/>
        </w:rPr>
        <w:t xml:space="preserve"> тыс. рублей, поступило доходов на </w:t>
      </w:r>
      <w:r w:rsidR="00F258FD">
        <w:rPr>
          <w:sz w:val="28"/>
          <w:szCs w:val="28"/>
        </w:rPr>
        <w:t xml:space="preserve">аналогичную </w:t>
      </w:r>
      <w:r w:rsidR="004D4554">
        <w:rPr>
          <w:sz w:val="28"/>
          <w:szCs w:val="28"/>
        </w:rPr>
        <w:t>сумму.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F258FD">
        <w:rPr>
          <w:sz w:val="28"/>
          <w:szCs w:val="28"/>
        </w:rPr>
        <w:t>113,</w:t>
      </w:r>
      <w:r w:rsidR="00692CD3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F258FD">
        <w:rPr>
          <w:sz w:val="28"/>
          <w:szCs w:val="28"/>
        </w:rPr>
        <w:t xml:space="preserve"> в связи с ростом количества штрафов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исполнение </w:t>
      </w:r>
      <w:r w:rsidRPr="003251F7">
        <w:rPr>
          <w:sz w:val="28"/>
          <w:szCs w:val="28"/>
        </w:rPr>
        <w:lastRenderedPageBreak/>
        <w:t xml:space="preserve">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851" w:type="dxa"/>
        <w:tblInd w:w="95" w:type="dxa"/>
        <w:tblLayout w:type="fixed"/>
        <w:tblLook w:val="04A0"/>
      </w:tblPr>
      <w:tblGrid>
        <w:gridCol w:w="1998"/>
        <w:gridCol w:w="482"/>
        <w:gridCol w:w="938"/>
        <w:gridCol w:w="938"/>
        <w:gridCol w:w="933"/>
        <w:gridCol w:w="933"/>
        <w:gridCol w:w="960"/>
        <w:gridCol w:w="826"/>
        <w:gridCol w:w="960"/>
        <w:gridCol w:w="883"/>
      </w:tblGrid>
      <w:tr w:rsidR="00F66E93" w:rsidRPr="00F66E93" w:rsidTr="00F66E93">
        <w:trPr>
          <w:trHeight w:val="20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F66E93" w:rsidRPr="00F66E93" w:rsidTr="00F66E93">
        <w:trPr>
          <w:trHeight w:val="2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F66E93" w:rsidRPr="00F66E93" w:rsidTr="00F66E93">
        <w:trPr>
          <w:trHeight w:val="2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E93" w:rsidRPr="00F66E93" w:rsidRDefault="00F66E93" w:rsidP="00F66E93">
            <w:pPr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F66E93" w:rsidRPr="00F66E93" w:rsidTr="00F66E93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10</w:t>
            </w:r>
          </w:p>
        </w:tc>
      </w:tr>
      <w:tr w:rsidR="00F66E93" w:rsidRPr="00F66E93" w:rsidTr="00F66E93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both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1051,6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1138,8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780,1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682,8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87,2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-97,3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color w:val="000000"/>
                <w:sz w:val="14"/>
                <w:szCs w:val="14"/>
              </w:rPr>
            </w:pPr>
            <w:r w:rsidRPr="00F66E93">
              <w:rPr>
                <w:color w:val="000000"/>
                <w:sz w:val="14"/>
                <w:szCs w:val="14"/>
              </w:rPr>
              <w:t>-12,5</w:t>
            </w:r>
          </w:p>
        </w:tc>
      </w:tr>
      <w:tr w:rsidR="00F66E93" w:rsidRPr="00F66E93" w:rsidTr="00F66E93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1051,6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1138,8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780,1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682,8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87,2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-97,3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93" w:rsidRPr="00F66E93" w:rsidRDefault="00F66E93" w:rsidP="00F66E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6E93">
              <w:rPr>
                <w:b/>
                <w:bCs/>
                <w:color w:val="000000"/>
                <w:sz w:val="14"/>
                <w:szCs w:val="14"/>
              </w:rPr>
              <w:t>-12,5</w:t>
            </w:r>
          </w:p>
        </w:tc>
      </w:tr>
    </w:tbl>
    <w:p w:rsidR="00F258FD" w:rsidRDefault="00F258FD" w:rsidP="007353EB">
      <w:pPr>
        <w:ind w:firstLine="567"/>
        <w:jc w:val="both"/>
        <w:rPr>
          <w:sz w:val="28"/>
          <w:szCs w:val="28"/>
        </w:rPr>
      </w:pPr>
    </w:p>
    <w:p w:rsidR="00F66E93" w:rsidRPr="00C57AAD" w:rsidRDefault="00F66E93" w:rsidP="00F66E93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>2013 годом наблюдается увеличение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>
        <w:rPr>
          <w:sz w:val="28"/>
          <w:szCs w:val="28"/>
        </w:rPr>
        <w:t>87,2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8,3%</w:t>
      </w:r>
      <w:r w:rsidRPr="00C57AAD">
        <w:rPr>
          <w:sz w:val="28"/>
          <w:szCs w:val="28"/>
        </w:rPr>
        <w:t xml:space="preserve">. </w:t>
      </w:r>
    </w:p>
    <w:p w:rsidR="00F66E93" w:rsidRDefault="00F66E93" w:rsidP="00F66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</w:t>
      </w:r>
      <w:r w:rsidRPr="00F258FD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Pr="00F258FD">
        <w:rPr>
          <w:sz w:val="28"/>
          <w:szCs w:val="28"/>
        </w:rPr>
        <w:t xml:space="preserve"> автодорожного надзора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2013</w:t>
      </w:r>
      <w:r w:rsidRPr="00C57AA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уменьшилась на 97,3 тыс. рублей или на 12,5%.</w:t>
      </w:r>
    </w:p>
    <w:p w:rsidR="00F66E93" w:rsidRDefault="00256C4C" w:rsidP="00F66E93">
      <w:pPr>
        <w:ind w:firstLine="540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В результате, с</w:t>
      </w:r>
      <w:r w:rsidR="00F66E93">
        <w:rPr>
          <w:color w:val="000000"/>
          <w:spacing w:val="1"/>
          <w:sz w:val="28"/>
          <w:szCs w:val="28"/>
        </w:rPr>
        <w:t>огласно с</w:t>
      </w:r>
      <w:r w:rsidR="00F66E93" w:rsidRPr="00217CAD">
        <w:rPr>
          <w:color w:val="000000"/>
          <w:spacing w:val="1"/>
          <w:sz w:val="28"/>
          <w:szCs w:val="28"/>
        </w:rPr>
        <w:t>ведения</w:t>
      </w:r>
      <w:r w:rsidR="00F66E93">
        <w:rPr>
          <w:color w:val="000000"/>
          <w:spacing w:val="1"/>
          <w:sz w:val="28"/>
          <w:szCs w:val="28"/>
        </w:rPr>
        <w:t>м</w:t>
      </w:r>
      <w:r w:rsidR="00F66E93"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="00F66E93" w:rsidRPr="00217CAD">
        <w:rPr>
          <w:color w:val="000000"/>
          <w:sz w:val="28"/>
          <w:szCs w:val="28"/>
        </w:rPr>
        <w:t>задолженности</w:t>
      </w:r>
      <w:r w:rsidR="00F66E93">
        <w:rPr>
          <w:color w:val="000000"/>
          <w:sz w:val="28"/>
          <w:szCs w:val="28"/>
        </w:rPr>
        <w:t xml:space="preserve"> </w:t>
      </w:r>
      <w:r w:rsidR="00F66E93" w:rsidRPr="00217CAD">
        <w:rPr>
          <w:color w:val="000000"/>
          <w:sz w:val="28"/>
          <w:szCs w:val="28"/>
        </w:rPr>
        <w:t>(ф. 0503169</w:t>
      </w:r>
      <w:r w:rsidR="00F66E93">
        <w:rPr>
          <w:sz w:val="28"/>
          <w:szCs w:val="28"/>
        </w:rPr>
        <w:t xml:space="preserve">) </w:t>
      </w:r>
      <w:r w:rsidR="00F66E93">
        <w:rPr>
          <w:color w:val="000000"/>
          <w:spacing w:val="1"/>
          <w:sz w:val="28"/>
          <w:szCs w:val="28"/>
        </w:rPr>
        <w:t>дебиторская</w:t>
      </w:r>
      <w:r w:rsidR="00F66E93" w:rsidRPr="00217CAD">
        <w:rPr>
          <w:color w:val="000000"/>
          <w:spacing w:val="1"/>
          <w:sz w:val="28"/>
          <w:szCs w:val="28"/>
        </w:rPr>
        <w:t xml:space="preserve"> задолженность </w:t>
      </w:r>
      <w:r>
        <w:rPr>
          <w:color w:val="000000"/>
          <w:spacing w:val="1"/>
          <w:sz w:val="28"/>
          <w:szCs w:val="28"/>
        </w:rPr>
        <w:t xml:space="preserve">за 2014 год увеличилась на 456,0 тыс. рублей или в 2,3 раза, что соответствует показателю строки 480 </w:t>
      </w:r>
      <w:r>
        <w:rPr>
          <w:sz w:val="28"/>
          <w:szCs w:val="28"/>
        </w:rPr>
        <w:t>отчёта</w:t>
      </w:r>
      <w:r w:rsidRPr="008B6DB6">
        <w:rPr>
          <w:sz w:val="28"/>
          <w:szCs w:val="28"/>
        </w:rPr>
        <w:t xml:space="preserve">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состоянию на 1 января 2015</w:t>
      </w:r>
      <w:r w:rsidRPr="00217CAD">
        <w:rPr>
          <w:color w:val="000000"/>
          <w:spacing w:val="1"/>
          <w:sz w:val="28"/>
          <w:szCs w:val="28"/>
        </w:rPr>
        <w:t xml:space="preserve"> года </w:t>
      </w:r>
      <w:r w:rsidRPr="00217CAD">
        <w:rPr>
          <w:color w:val="000000"/>
          <w:spacing w:val="7"/>
          <w:sz w:val="28"/>
          <w:szCs w:val="28"/>
        </w:rPr>
        <w:t>по бюджетной деятельности</w:t>
      </w:r>
      <w:r>
        <w:rPr>
          <w:color w:val="000000"/>
          <w:spacing w:val="7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дебиторская задолженность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66E93" w:rsidRPr="00217CAD">
        <w:rPr>
          <w:color w:val="000000"/>
          <w:spacing w:val="1"/>
          <w:sz w:val="28"/>
          <w:szCs w:val="28"/>
        </w:rPr>
        <w:t xml:space="preserve">на </w:t>
      </w:r>
      <w:r w:rsidR="00F66E93">
        <w:rPr>
          <w:color w:val="000000"/>
          <w:spacing w:val="1"/>
          <w:sz w:val="28"/>
          <w:szCs w:val="28"/>
        </w:rPr>
        <w:t>начало периода составила 359,0 тыс. рублей, на конец отчетного периода</w:t>
      </w:r>
      <w:proofErr w:type="gramEnd"/>
      <w:r w:rsidR="00F66E93">
        <w:rPr>
          <w:color w:val="000000"/>
          <w:spacing w:val="1"/>
          <w:sz w:val="28"/>
          <w:szCs w:val="28"/>
        </w:rPr>
        <w:t xml:space="preserve"> увеличилась до 815,0 тыс. рублей</w:t>
      </w:r>
      <w:r>
        <w:rPr>
          <w:color w:val="000000"/>
          <w:spacing w:val="1"/>
          <w:sz w:val="28"/>
          <w:szCs w:val="28"/>
        </w:rPr>
        <w:t>)</w:t>
      </w:r>
      <w:r w:rsidR="00F66E93">
        <w:rPr>
          <w:color w:val="000000"/>
          <w:spacing w:val="1"/>
          <w:sz w:val="28"/>
          <w:szCs w:val="28"/>
        </w:rPr>
        <w:t>.</w:t>
      </w:r>
      <w:proofErr w:type="gramStart"/>
      <w:r w:rsidR="00500228">
        <w:rPr>
          <w:color w:val="000000"/>
          <w:spacing w:val="1"/>
          <w:sz w:val="28"/>
          <w:szCs w:val="28"/>
        </w:rPr>
        <w:t xml:space="preserve"> </w:t>
      </w:r>
      <w:proofErr w:type="gramEnd"/>
      <w:r w:rsidR="00500228">
        <w:rPr>
          <w:color w:val="000000"/>
          <w:spacing w:val="1"/>
          <w:sz w:val="28"/>
          <w:szCs w:val="28"/>
        </w:rPr>
        <w:t>При этом меры, предпринимаемые Инспекцией экологического надзора</w:t>
      </w:r>
      <w:r w:rsidR="00BB6149">
        <w:rPr>
          <w:color w:val="000000"/>
          <w:spacing w:val="1"/>
          <w:sz w:val="28"/>
          <w:szCs w:val="28"/>
        </w:rPr>
        <w:t xml:space="preserve"> по взысканию сложившейся дебиторской задолженности</w:t>
      </w:r>
      <w:r w:rsidR="00500228">
        <w:rPr>
          <w:sz w:val="28"/>
          <w:szCs w:val="28"/>
        </w:rPr>
        <w:t>,</w:t>
      </w:r>
      <w:r w:rsidR="00BB6149">
        <w:rPr>
          <w:sz w:val="28"/>
          <w:szCs w:val="28"/>
        </w:rPr>
        <w:t xml:space="preserve"> не отражены в Пояснительной записке (ф. 0503160), </w:t>
      </w:r>
      <w:r w:rsidR="00500228">
        <w:rPr>
          <w:sz w:val="28"/>
          <w:szCs w:val="28"/>
        </w:rPr>
        <w:t xml:space="preserve">что свидетельствует о недостаточности мер, принимаемых </w:t>
      </w:r>
      <w:r w:rsidR="00500228" w:rsidRPr="00F258FD">
        <w:rPr>
          <w:sz w:val="28"/>
          <w:szCs w:val="28"/>
        </w:rPr>
        <w:t>У</w:t>
      </w:r>
      <w:r w:rsidR="00500228">
        <w:rPr>
          <w:sz w:val="28"/>
          <w:szCs w:val="28"/>
        </w:rPr>
        <w:t>правлением</w:t>
      </w:r>
      <w:r w:rsidR="00500228" w:rsidRPr="00F258FD">
        <w:rPr>
          <w:sz w:val="28"/>
          <w:szCs w:val="28"/>
        </w:rPr>
        <w:t xml:space="preserve"> автодорожного надзора</w:t>
      </w:r>
      <w:r w:rsidR="00500228">
        <w:rPr>
          <w:sz w:val="28"/>
          <w:szCs w:val="28"/>
        </w:rPr>
        <w:t>, по возмещению сложившейся задолженности по штрафам</w:t>
      </w:r>
      <w:r w:rsidR="00BB6149">
        <w:rPr>
          <w:sz w:val="28"/>
          <w:szCs w:val="28"/>
        </w:rPr>
        <w:t>.</w:t>
      </w:r>
    </w:p>
    <w:p w:rsidR="007353EB" w:rsidRPr="004B2C55" w:rsidRDefault="007353EB" w:rsidP="00F66E93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F66E93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F66E93" w:rsidRPr="00F258FD">
        <w:rPr>
          <w:sz w:val="28"/>
          <w:szCs w:val="28"/>
        </w:rPr>
        <w:t>У</w:t>
      </w:r>
      <w:r w:rsidR="00F66E93">
        <w:rPr>
          <w:sz w:val="28"/>
          <w:szCs w:val="28"/>
        </w:rPr>
        <w:t>правления</w:t>
      </w:r>
      <w:r w:rsidR="00F66E93" w:rsidRPr="00F258FD">
        <w:rPr>
          <w:sz w:val="28"/>
          <w:szCs w:val="28"/>
        </w:rPr>
        <w:t xml:space="preserve"> автодорожного надзора</w:t>
      </w:r>
      <w:r w:rsidR="00F66E93" w:rsidRPr="004B2C55">
        <w:rPr>
          <w:sz w:val="28"/>
          <w:szCs w:val="28"/>
        </w:rPr>
        <w:t xml:space="preserve"> </w:t>
      </w:r>
      <w:r w:rsidRPr="004B2C55">
        <w:rPr>
          <w:sz w:val="28"/>
          <w:szCs w:val="28"/>
        </w:rPr>
        <w:t xml:space="preserve">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CF02F5" w:rsidRPr="003973A1" w:rsidRDefault="00CF02F5" w:rsidP="00CF02F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бюджета </w:t>
      </w:r>
      <w:r>
        <w:rPr>
          <w:rFonts w:eastAsia="Calibri"/>
          <w:sz w:val="28"/>
          <w:szCs w:val="28"/>
        </w:rPr>
        <w:t xml:space="preserve">городского округа </w:t>
      </w:r>
      <w:r w:rsidRPr="003973A1">
        <w:rPr>
          <w:rFonts w:eastAsia="Calibri"/>
          <w:sz w:val="28"/>
          <w:szCs w:val="28"/>
        </w:rPr>
        <w:t>от уточнённого прогноза поступлений</w:t>
      </w:r>
      <w:r>
        <w:rPr>
          <w:rFonts w:eastAsia="Calibri"/>
          <w:sz w:val="28"/>
          <w:szCs w:val="28"/>
        </w:rPr>
        <w:t xml:space="preserve">, в </w:t>
      </w:r>
      <w:proofErr w:type="gramStart"/>
      <w:r>
        <w:rPr>
          <w:rFonts w:eastAsia="Calibri"/>
          <w:sz w:val="28"/>
          <w:szCs w:val="28"/>
        </w:rPr>
        <w:t>связи</w:t>
      </w:r>
      <w:proofErr w:type="gramEnd"/>
      <w:r>
        <w:rPr>
          <w:rFonts w:eastAsia="Calibri"/>
          <w:sz w:val="28"/>
          <w:szCs w:val="28"/>
        </w:rPr>
        <w:t xml:space="preserve"> с чем </w:t>
      </w:r>
      <w:r w:rsidRPr="00F258FD">
        <w:rPr>
          <w:sz w:val="28"/>
          <w:szCs w:val="28"/>
        </w:rPr>
        <w:t>У</w:t>
      </w:r>
      <w:r>
        <w:rPr>
          <w:sz w:val="28"/>
          <w:szCs w:val="28"/>
        </w:rPr>
        <w:t>правлению</w:t>
      </w:r>
      <w:r w:rsidRPr="00F258FD">
        <w:rPr>
          <w:sz w:val="28"/>
          <w:szCs w:val="28"/>
        </w:rPr>
        <w:t xml:space="preserve"> автодорожного надзора</w:t>
      </w:r>
      <w:r>
        <w:rPr>
          <w:rFonts w:eastAsia="Calibri"/>
          <w:sz w:val="28"/>
          <w:szCs w:val="28"/>
        </w:rPr>
        <w:t xml:space="preserve"> необходимо обратить внимание на планирование и необходимость своевременного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Pr="00CF02F5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CF02F5">
        <w:rPr>
          <w:rFonts w:ascii="Times New Roman" w:hAnsi="Times New Roman"/>
          <w:bCs/>
          <w:sz w:val="28"/>
          <w:szCs w:val="28"/>
        </w:rPr>
        <w:t>городского округа</w:t>
      </w:r>
      <w:r w:rsidRPr="00CF02F5">
        <w:rPr>
          <w:rFonts w:ascii="Times New Roman" w:hAnsi="Times New Roman"/>
          <w:bCs/>
          <w:sz w:val="28"/>
          <w:szCs w:val="28"/>
        </w:rPr>
        <w:tab/>
      </w:r>
      <w:r w:rsidRPr="00CF02F5">
        <w:rPr>
          <w:rFonts w:ascii="Times New Roman" w:hAnsi="Times New Roman"/>
          <w:bCs/>
          <w:sz w:val="28"/>
          <w:szCs w:val="28"/>
        </w:rPr>
        <w:tab/>
      </w:r>
      <w:r w:rsidRPr="00CF02F5">
        <w:rPr>
          <w:rFonts w:ascii="Times New Roman" w:hAnsi="Times New Roman"/>
          <w:bCs/>
          <w:sz w:val="28"/>
          <w:szCs w:val="28"/>
        </w:rPr>
        <w:tab/>
        <w:t xml:space="preserve">                                   </w:t>
      </w:r>
      <w:r w:rsidR="002B7A6D" w:rsidRPr="00CF02F5">
        <w:rPr>
          <w:rFonts w:ascii="Times New Roman" w:hAnsi="Times New Roman"/>
          <w:bCs/>
          <w:sz w:val="28"/>
          <w:szCs w:val="28"/>
        </w:rPr>
        <w:t xml:space="preserve">          </w:t>
      </w:r>
      <w:r w:rsidRPr="00CF02F5">
        <w:rPr>
          <w:rFonts w:ascii="Times New Roman" w:hAnsi="Times New Roman"/>
          <w:bCs/>
          <w:sz w:val="28"/>
          <w:szCs w:val="28"/>
        </w:rPr>
        <w:t xml:space="preserve">     </w:t>
      </w:r>
      <w:r w:rsidR="00D533A2" w:rsidRPr="00CF02F5">
        <w:rPr>
          <w:rFonts w:ascii="Times New Roman" w:hAnsi="Times New Roman"/>
          <w:bCs/>
          <w:sz w:val="28"/>
          <w:szCs w:val="28"/>
        </w:rPr>
        <w:t>В.А. Кочеткова</w:t>
      </w:r>
    </w:p>
    <w:sectPr w:rsidR="000351FF" w:rsidRPr="00CF02F5" w:rsidSect="00BB6149">
      <w:headerReference w:type="even" r:id="rId10"/>
      <w:footerReference w:type="even" r:id="rId11"/>
      <w:footerReference w:type="default" r:id="rId12"/>
      <w:pgSz w:w="11906" w:h="16838"/>
      <w:pgMar w:top="1021" w:right="737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43" w:rsidRDefault="00B21443">
      <w:r>
        <w:separator/>
      </w:r>
    </w:p>
  </w:endnote>
  <w:endnote w:type="continuationSeparator" w:id="0">
    <w:p w:rsidR="00B21443" w:rsidRDefault="00B2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841F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841F9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149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43" w:rsidRDefault="00B21443">
      <w:r>
        <w:separator/>
      </w:r>
    </w:p>
  </w:footnote>
  <w:footnote w:type="continuationSeparator" w:id="0">
    <w:p w:rsidR="00B21443" w:rsidRDefault="00B21443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F258FD">
        <w:t>Управление автодорожного надзора</w:t>
      </w:r>
      <w:r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F258FD" w:rsidRDefault="00F258FD" w:rsidP="00F258FD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692CD3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3020A4">
        <w:t>0</w:t>
      </w:r>
      <w:r w:rsidR="00207518">
        <w:t>7</w:t>
      </w:r>
      <w:r w:rsidRPr="00937021">
        <w:t>.0</w:t>
      </w:r>
      <w:r w:rsidR="003020A4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3020A4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841F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2FE8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A681E"/>
    <w:rsid w:val="001C3B2F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56C4C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20A4"/>
    <w:rsid w:val="00306533"/>
    <w:rsid w:val="0031451F"/>
    <w:rsid w:val="00316019"/>
    <w:rsid w:val="0031704F"/>
    <w:rsid w:val="003251F7"/>
    <w:rsid w:val="00330FC1"/>
    <w:rsid w:val="00344AB5"/>
    <w:rsid w:val="003507A8"/>
    <w:rsid w:val="00353A75"/>
    <w:rsid w:val="00367339"/>
    <w:rsid w:val="00373F86"/>
    <w:rsid w:val="00376EC4"/>
    <w:rsid w:val="00382F81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F4677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D4554"/>
    <w:rsid w:val="00500228"/>
    <w:rsid w:val="00507E3C"/>
    <w:rsid w:val="0051401B"/>
    <w:rsid w:val="00525A4C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3504"/>
    <w:rsid w:val="007971D4"/>
    <w:rsid w:val="007A3498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1F9A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94B0E"/>
    <w:rsid w:val="008A33AF"/>
    <w:rsid w:val="008A4B39"/>
    <w:rsid w:val="008C3B8D"/>
    <w:rsid w:val="008E0997"/>
    <w:rsid w:val="008E16DC"/>
    <w:rsid w:val="008E414F"/>
    <w:rsid w:val="008F3A3D"/>
    <w:rsid w:val="00900342"/>
    <w:rsid w:val="00901130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3604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3DCD"/>
    <w:rsid w:val="00A44173"/>
    <w:rsid w:val="00A474EA"/>
    <w:rsid w:val="00A52FCC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1443"/>
    <w:rsid w:val="00B22218"/>
    <w:rsid w:val="00B31C3A"/>
    <w:rsid w:val="00B36999"/>
    <w:rsid w:val="00B50A50"/>
    <w:rsid w:val="00B53DA5"/>
    <w:rsid w:val="00B553B3"/>
    <w:rsid w:val="00B712E2"/>
    <w:rsid w:val="00B77258"/>
    <w:rsid w:val="00B91F10"/>
    <w:rsid w:val="00B957D7"/>
    <w:rsid w:val="00B973F6"/>
    <w:rsid w:val="00BA04FF"/>
    <w:rsid w:val="00BA1149"/>
    <w:rsid w:val="00BA637D"/>
    <w:rsid w:val="00BA6708"/>
    <w:rsid w:val="00BA710F"/>
    <w:rsid w:val="00BB6149"/>
    <w:rsid w:val="00BC523C"/>
    <w:rsid w:val="00BC64BD"/>
    <w:rsid w:val="00BC7C62"/>
    <w:rsid w:val="00BD079F"/>
    <w:rsid w:val="00BD2343"/>
    <w:rsid w:val="00BD4591"/>
    <w:rsid w:val="00BD4B8A"/>
    <w:rsid w:val="00BD64E7"/>
    <w:rsid w:val="00BE074B"/>
    <w:rsid w:val="00BE6598"/>
    <w:rsid w:val="00BF2326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02F5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359B6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58FD"/>
    <w:rsid w:val="00F261A8"/>
    <w:rsid w:val="00F27221"/>
    <w:rsid w:val="00F274A5"/>
    <w:rsid w:val="00F30EAE"/>
    <w:rsid w:val="00F46A98"/>
    <w:rsid w:val="00F5335D"/>
    <w:rsid w:val="00F60DE4"/>
    <w:rsid w:val="00F66E93"/>
    <w:rsid w:val="00F70053"/>
    <w:rsid w:val="00F70D1F"/>
    <w:rsid w:val="00F77FB6"/>
    <w:rsid w:val="00F823B6"/>
    <w:rsid w:val="00F967EE"/>
    <w:rsid w:val="00FB1DDA"/>
    <w:rsid w:val="00FB2831"/>
    <w:rsid w:val="00FB306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6F5D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2388-421F-413F-8D5F-7018EA61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9542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8</cp:revision>
  <cp:lastPrinted>2015-04-20T03:08:00Z</cp:lastPrinted>
  <dcterms:created xsi:type="dcterms:W3CDTF">2015-04-06T22:17:00Z</dcterms:created>
  <dcterms:modified xsi:type="dcterms:W3CDTF">2015-04-20T03:09:00Z</dcterms:modified>
</cp:coreProperties>
</file>