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F6" w:rsidRPr="009D0AAE" w:rsidRDefault="0089660B" w:rsidP="00B639F2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</w:t>
      </w:r>
    </w:p>
    <w:p w:rsidR="000639F6" w:rsidRPr="009D0AAE" w:rsidRDefault="000639F6" w:rsidP="00B639F2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приказом председателя Контрольно-счетной палаты Петропавловск-Камчатского городского округа</w:t>
      </w:r>
    </w:p>
    <w:p w:rsidR="000639F6" w:rsidRPr="009D0AAE" w:rsidRDefault="000639F6" w:rsidP="00B639F2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E028AB"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en-US"/>
        </w:rPr>
        <w:t>29</w:t>
      </w:r>
      <w:r w:rsidR="00E028AB"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</w:t>
      </w:r>
      <w:r w:rsidR="00E028AB"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en-US"/>
        </w:rPr>
        <w:t>07</w:t>
      </w:r>
      <w:r w:rsidR="00E028AB"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.</w:t>
      </w:r>
      <w:r w:rsidR="00E028AB"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en-US"/>
        </w:rPr>
        <w:t>2019</w:t>
      </w:r>
      <w:r w:rsidRPr="009D0A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E028AB"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en-US"/>
        </w:rPr>
        <w:t>54</w:t>
      </w:r>
      <w:r w:rsidRPr="00E028AB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-КСП</w:t>
      </w:r>
    </w:p>
    <w:p w:rsidR="000639F6" w:rsidRPr="009D0AAE" w:rsidRDefault="000639F6" w:rsidP="00B639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E38C3" w:rsidRPr="009D0AAE" w:rsidRDefault="000639F6" w:rsidP="00B639F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уведомления муниципальными служащими аппарата Контрольно-счетной палаты Петропавловск-Камчатского городского округа представителя нанимателя о возникновении личной заинтересованности, которая приводит или может привести к конфликту интересов</w:t>
      </w:r>
    </w:p>
    <w:p w:rsidR="000639F6" w:rsidRPr="009D0AAE" w:rsidRDefault="000639F6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Порядок уведомления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 аппарата Контрольно-счетной палаты Петропавловск-Камчатского городского округа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служащие, КСП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6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распространяется на всех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лиц, замещающих должности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высшей группы должностей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назначение на которые и освобождение от которых осуществляется </w:t>
      </w:r>
      <w:r w:rsidR="00B639F2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Городской Думы Петропавловск-Камчатского городского округа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обязан принимать меры по недопущению любой возможности возникновения конфликта интересов.</w:t>
      </w:r>
    </w:p>
    <w:p w:rsidR="00B639F2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</w:t>
      </w:r>
      <w:r w:rsidRPr="009D0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уведомить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КСП и своего непосредственного руководителя.</w:t>
      </w:r>
    </w:p>
    <w:p w:rsidR="00B639F2" w:rsidRPr="009D0AAE" w:rsidRDefault="00B639F2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9D0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личной заинтересованностью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639F2" w:rsidRPr="009D0AAE" w:rsidRDefault="00B639F2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r w:rsidRPr="009D0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конфликтом интересов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службе понимается ситуация, при которой личная заинтересованность (прямая или косвенная)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 влияет или может повлиять на надлежащее, объективное и беспристрастное исполнение им должностных (служебных) обязанностей.</w:t>
      </w:r>
    </w:p>
    <w:p w:rsidR="00BF7E3C" w:rsidRPr="009D0AAE" w:rsidRDefault="00EE38C3" w:rsidP="00BF7E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 возникновении личной заинтересованности,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которая приводит или может привести к конфликту интересов, он обязан уведомить об этом с помощью любых доступных средств связи своего непосредственного руководителя и председателя КСП, а по прибытии к месту прохождения муниципальной службы оформить уведомление.</w:t>
      </w:r>
    </w:p>
    <w:p w:rsidR="00BF7E3C" w:rsidRPr="009D0AAE" w:rsidRDefault="00BF7E3C" w:rsidP="00BF7E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Невыполнение муниципальным служащим обязанности, предусмотренной пунктом 3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6. У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пи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сьменном виде по рекомендуемой форме </w:t>
      </w:r>
      <w:hyperlink w:anchor="P87" w:history="1">
        <w:r w:rsidR="001934C7"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</w:t>
        </w:r>
        <w:r w:rsidR="00EE38C3"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1)</w:t>
        </w:r>
      </w:hyperlink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направляет уведомление в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кадровую службу КСП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. Уведомление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Журнал) согласно рекомендуемой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4C7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36" w:history="1">
        <w:r w:rsidR="001934C7"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>(приложение №</w:t>
        </w:r>
        <w:r w:rsidR="00EE38C3"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2)</w:t>
        </w:r>
      </w:hyperlink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Листы Журнала должны быть прошиты, пронумерованы и заверены печатью.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Журнал хранится в месте, защищенном от несанкционированного доступа.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кадрам выдает две копии 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зарегистрированного в установленном порядке уведомления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служащему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 под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подпись либо направляет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почтовой связи с уведомлением о вручении.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E3C" w:rsidRPr="009D0AAE" w:rsidRDefault="00BF7E3C" w:rsidP="00BF7E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Первая копия уведомления хранится у муниципального служащего. Вторую копию уведомления муниципальный служащий обязан представить своему непосредственному руководителю для информации.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после регистрации в течение 3 (трех) рабочих дней направляется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кадрам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рассмотрение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председателю КСП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" w:name="P52"/>
      <w:bookmarkEnd w:id="1"/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рассмотрения уведомления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имеет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получать в установленном порядке от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E38C3" w:rsidRPr="009D0AAE" w:rsidRDefault="00BF7E3C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уведомления принимает одно из следующих решений: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признать, что при исполнении должностных обязанностей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направившим уведомление, конфликт интересов отсутствует;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8"/>
      <w:bookmarkEnd w:id="2"/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при исполнении должностных обязанностей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направившим уведомление, личная заинтересованность приводит или может привести к конфликту интересов;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9"/>
      <w:bookmarkEnd w:id="3"/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признать, что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служащим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, направившим уведомление, не соблюдались требования об урегулировании конфликта интересов;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рассмотреть уведомление на заседании комиссии по соблюдению требований к служебному поведению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служащих </w:t>
      </w:r>
      <w:r w:rsidR="00BF7E3C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интересов.</w:t>
      </w:r>
    </w:p>
    <w:p w:rsidR="00EE38C3" w:rsidRPr="009D0AAE" w:rsidRDefault="00E8322A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решения, предусмотренного </w:t>
      </w:r>
      <w:hyperlink w:anchor="P58" w:history="1">
        <w:r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«б»</w:t>
        </w:r>
        <w:r w:rsidR="00EE38C3"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соответствии с законодательством Российской Федерации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КСП или уполномоченное им должностное лицо 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служащему, направившему уведомление, принять такие меры.</w:t>
      </w:r>
    </w:p>
    <w:p w:rsidR="00EE38C3" w:rsidRPr="009D0AAE" w:rsidRDefault="00E8322A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принятия решения, предусмотренного </w:t>
      </w:r>
      <w:hyperlink w:anchor="P59" w:history="1">
        <w:r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="00EE38C3" w:rsidRPr="009D0AA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КСП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уполномоченное им должностное лицо рассматривает вопрос о проведении в установленном порядке проверки для решения вопроса о применении в отношении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направившего уведомление, мер юридической ответственности, предусмотренных законодательством Российской Федерации.</w:t>
      </w: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22A" w:rsidRPr="009D0AAE" w:rsidRDefault="00E8322A">
      <w:pPr>
        <w:spacing w:after="160" w:line="259" w:lineRule="auto"/>
        <w:rPr>
          <w:color w:val="000000" w:themeColor="text1"/>
          <w:sz w:val="28"/>
          <w:szCs w:val="28"/>
        </w:rPr>
      </w:pPr>
      <w:r w:rsidRPr="009D0AAE">
        <w:rPr>
          <w:color w:val="000000" w:themeColor="text1"/>
          <w:sz w:val="28"/>
          <w:szCs w:val="28"/>
        </w:rPr>
        <w:br w:type="page"/>
      </w:r>
    </w:p>
    <w:p w:rsidR="00EE38C3" w:rsidRPr="009D0AAE" w:rsidRDefault="009D0AAE" w:rsidP="00B63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E38C3" w:rsidRPr="009D0AAE" w:rsidRDefault="00EE38C3" w:rsidP="009D0AAE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Порядку </w:t>
      </w:r>
      <w:r w:rsidR="009D0AAE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муниципальными служащими аппарата Контрольно-счетной палаты Петропавловск-Камчатского городского округа представителя нанимателя о возникновении личной заинтересованности, которая приводит или может привести к конфликту интересов</w:t>
      </w: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9D0AAE" w:rsidP="00B63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Рекомендуемая форма</w:t>
      </w:r>
    </w:p>
    <w:p w:rsidR="00EE38C3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1601"/>
        <w:gridCol w:w="1602"/>
        <w:gridCol w:w="1603"/>
        <w:gridCol w:w="1603"/>
        <w:gridCol w:w="1603"/>
      </w:tblGrid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Контрольно-счетной палаты Петропавловск-Камчатского городского округа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</w:tcBorders>
          </w:tcPr>
          <w:p w:rsidR="009D0AAE" w:rsidRPr="009D0AAE" w:rsidRDefault="009D0AAE" w:rsidP="009D0A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0"/>
              </w:rPr>
              <w:t>(Ф.И.О.)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9" w:type="dxa"/>
            <w:gridSpan w:val="3"/>
            <w:tcBorders>
              <w:top w:val="single" w:sz="4" w:space="0" w:color="auto"/>
            </w:tcBorders>
          </w:tcPr>
          <w:p w:rsidR="009D0AAE" w:rsidRPr="009D0AAE" w:rsidRDefault="009D0AAE" w:rsidP="009D0A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0"/>
              </w:rPr>
              <w:t>(Ф.И.О., должность)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AAE" w:rsidTr="00E30597">
        <w:tc>
          <w:tcPr>
            <w:tcW w:w="9628" w:type="dxa"/>
            <w:gridSpan w:val="6"/>
          </w:tcPr>
          <w:p w:rsidR="009D0AAE" w:rsidRDefault="009D0AAE" w:rsidP="009D0AA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</w:t>
            </w:r>
          </w:p>
          <w:p w:rsidR="009D0AAE" w:rsidRDefault="009D0AAE" w:rsidP="009D0AA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возникновении личной заинтересованности при исполнении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должностных обязанностей, которая приводит или может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привести к конфликту интересов</w:t>
            </w:r>
          </w:p>
        </w:tc>
      </w:tr>
      <w:tr w:rsidR="009D0AAE" w:rsidTr="00E30597">
        <w:tc>
          <w:tcPr>
            <w:tcW w:w="1616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9D0AAE" w:rsidRDefault="009D0AAE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</w:tcPr>
          <w:p w:rsidR="00E30597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7" w:history="1">
              <w:r w:rsidRPr="009D0AA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</w:t>
              </w:r>
              <w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r w:rsidRPr="009D0AA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11</w:t>
              </w:r>
            </w:hyperlink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ерального закона от 25.12.2008 №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273-ФЗ</w:t>
            </w:r>
          </w:p>
        </w:tc>
      </w:tr>
      <w:tr w:rsidR="00E30597" w:rsidTr="00E30597">
        <w:tc>
          <w:tcPr>
            <w:tcW w:w="4819" w:type="dxa"/>
            <w:gridSpan w:val="3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противодействии коррупции»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4809" w:type="dxa"/>
            <w:gridSpan w:val="3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E30597" w:rsidRPr="00E30597" w:rsidRDefault="00E30597" w:rsidP="00E3059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0597">
              <w:rPr>
                <w:rFonts w:ascii="Times New Roman" w:hAnsi="Times New Roman" w:cs="Times New Roman"/>
                <w:color w:val="000000" w:themeColor="text1"/>
              </w:rPr>
              <w:t>(Ф.И.О., замещаемая должность)</w:t>
            </w:r>
          </w:p>
        </w:tc>
      </w:tr>
      <w:tr w:rsidR="00E30597" w:rsidTr="00E30597">
        <w:tc>
          <w:tcPr>
            <w:tcW w:w="9628" w:type="dxa"/>
            <w:gridSpan w:val="6"/>
          </w:tcPr>
          <w:p w:rsidR="00E30597" w:rsidRPr="00E30597" w:rsidRDefault="00E30597" w:rsidP="00E3059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уведомляю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возникновении у меня личной заинтересованности при исполнении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должностных обязанностей, которая приводит или может привести к конфликту интересов (нужное подчеркнуть)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30597" w:rsidTr="00E30597">
        <w:tc>
          <w:tcPr>
            <w:tcW w:w="9628" w:type="dxa"/>
            <w:gridSpan w:val="6"/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Обстоятельства, являющиеся    основанием    возникновения    личной</w:t>
            </w:r>
          </w:p>
          <w:p w:rsidR="00E30597" w:rsidRDefault="00E30597" w:rsidP="00E3059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</w:tcPr>
          <w:p w:rsidR="00E30597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0597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Должностные   обязанности, на исполнение которых влияет или может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повлиять личная заинтересованность:</w:t>
            </w: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Предлагаемые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меры по предотвращению или урегулированию  конфликта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интересов:</w:t>
            </w:r>
          </w:p>
        </w:tc>
      </w:tr>
      <w:tr w:rsidR="00E30597" w:rsidTr="00E30597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E30597">
        <w:tc>
          <w:tcPr>
            <w:tcW w:w="9628" w:type="dxa"/>
            <w:gridSpan w:val="6"/>
            <w:tcBorders>
              <w:top w:val="single" w:sz="4" w:space="0" w:color="auto"/>
            </w:tcBorders>
          </w:tcPr>
          <w:p w:rsidR="00E30597" w:rsidRPr="009D0AAE" w:rsidRDefault="00E30597" w:rsidP="00E30597">
            <w:pPr>
              <w:pStyle w:val="ConsPlusNonformat"/>
              <w:ind w:firstLine="7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Намереваюсь (не намереваюсь) лично присутствовать на заседании комиссии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соблюдению требований к служебному поведению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служащих Контрольно-счетной палаты Петропавловск-Камчатского городского округа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урегулированию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конфликта интересов (нужное подчеркнуть).</w:t>
            </w:r>
          </w:p>
        </w:tc>
      </w:tr>
      <w:tr w:rsidR="00E30597" w:rsidTr="00E30597">
        <w:tc>
          <w:tcPr>
            <w:tcW w:w="1616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597" w:rsidTr="00D33129">
        <w:tc>
          <w:tcPr>
            <w:tcW w:w="3217" w:type="dxa"/>
            <w:gridSpan w:val="2"/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"__" __________ 20__ г.  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</w:tcPr>
          <w:p w:rsidR="00E30597" w:rsidRDefault="00E30597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E30597" w:rsidRDefault="00D33129" w:rsidP="00B639F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                                               /</w:t>
            </w:r>
          </w:p>
        </w:tc>
      </w:tr>
      <w:tr w:rsidR="00E30597" w:rsidTr="00D33129">
        <w:tc>
          <w:tcPr>
            <w:tcW w:w="3217" w:type="dxa"/>
            <w:gridSpan w:val="2"/>
          </w:tcPr>
          <w:p w:rsidR="00E30597" w:rsidRPr="00E30597" w:rsidRDefault="00E30597" w:rsidP="00E30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</w:tcPr>
          <w:p w:rsidR="00E30597" w:rsidRPr="00E30597" w:rsidRDefault="00E30597" w:rsidP="00E30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597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</w:tcBorders>
          </w:tcPr>
          <w:p w:rsidR="00E30597" w:rsidRPr="00E30597" w:rsidRDefault="00E30597" w:rsidP="00E3059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30597">
              <w:rPr>
                <w:rFonts w:ascii="Times New Roman" w:hAnsi="Times New Roman" w:cs="Times New Roman"/>
                <w:color w:val="000000" w:themeColor="text1"/>
                <w:sz w:val="20"/>
              </w:rPr>
              <w:t>(расшифровка подписи)</w:t>
            </w:r>
          </w:p>
        </w:tc>
      </w:tr>
    </w:tbl>
    <w:p w:rsidR="009D0AAE" w:rsidRPr="009D0AAE" w:rsidRDefault="009D0AAE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597" w:rsidRPr="009D0AAE" w:rsidRDefault="00EE38C3" w:rsidP="00E305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597" w:rsidRDefault="00E30597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E38C3" w:rsidRPr="009D0AAE" w:rsidRDefault="00D33129" w:rsidP="00B63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EE38C3"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EE38C3" w:rsidRPr="009D0AAE" w:rsidRDefault="00EE38C3" w:rsidP="00D33129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33129" w:rsidRPr="00D331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Порядку уведомления муниципальными служащими аппарата Контрольно-счетной палаты Петропавловск-Камчатского городского округа представителя нанимателя о возникновении личной заинтересованности, которая приводит или может привести к конфликту интересов</w:t>
      </w:r>
    </w:p>
    <w:p w:rsidR="00D33129" w:rsidRDefault="00D33129" w:rsidP="00B63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EE38C3" w:rsidP="00A56C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33129">
        <w:rPr>
          <w:rFonts w:ascii="Times New Roman" w:hAnsi="Times New Roman" w:cs="Times New Roman"/>
          <w:color w:val="000000" w:themeColor="text1"/>
          <w:sz w:val="28"/>
          <w:szCs w:val="28"/>
        </w:rPr>
        <w:t>екомендуемая форма</w:t>
      </w:r>
      <w:bookmarkStart w:id="4" w:name="P136"/>
      <w:bookmarkEnd w:id="4"/>
    </w:p>
    <w:p w:rsidR="00A56CEB" w:rsidRDefault="00A56CEB" w:rsidP="00A56CE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EE38C3" w:rsidP="00A56C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:rsidR="00A56CEB" w:rsidRDefault="00EE38C3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уведомлений о возникновении личной</w:t>
      </w:r>
      <w:r w:rsidR="00A56CEB" w:rsidRPr="00A5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CE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аинтересованности при исполнении должностных обязанностей,</w:t>
      </w:r>
      <w:r w:rsidR="00A5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которая приводит или может привести к конфликту интересов</w:t>
      </w: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A56CEB" w:rsidP="00A56CE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CEB" w:rsidRDefault="00EE38C3" w:rsidP="00A56CEB">
      <w:pPr>
        <w:pStyle w:val="ConsPlusNonforma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Начат "__" ________ 20__ г.</w:t>
      </w:r>
    </w:p>
    <w:p w:rsidR="00A56CEB" w:rsidRDefault="00EE38C3" w:rsidP="00A56CEB">
      <w:pPr>
        <w:pStyle w:val="ConsPlusNonforma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Окончен "__" ______ 20__ г.</w:t>
      </w:r>
    </w:p>
    <w:p w:rsidR="00EE38C3" w:rsidRPr="009D0AAE" w:rsidRDefault="00EE38C3" w:rsidP="00A56CEB">
      <w:pPr>
        <w:pStyle w:val="ConsPlusNonformat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AAE">
        <w:rPr>
          <w:rFonts w:ascii="Times New Roman" w:hAnsi="Times New Roman" w:cs="Times New Roman"/>
          <w:color w:val="000000" w:themeColor="text1"/>
          <w:sz w:val="28"/>
          <w:szCs w:val="28"/>
        </w:rPr>
        <w:t>На "__" листах</w:t>
      </w:r>
    </w:p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38C3" w:rsidRPr="009D0AAE" w:rsidRDefault="00EE38C3" w:rsidP="00B639F2">
      <w:pPr>
        <w:rPr>
          <w:color w:val="000000" w:themeColor="text1"/>
          <w:sz w:val="28"/>
          <w:szCs w:val="28"/>
        </w:rPr>
        <w:sectPr w:rsidR="00EE38C3" w:rsidRPr="009D0AAE" w:rsidSect="0003332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1843"/>
        <w:gridCol w:w="2835"/>
        <w:gridCol w:w="3118"/>
      </w:tblGrid>
      <w:tr w:rsidR="00A56CEB" w:rsidRPr="006C0DF4" w:rsidTr="00A56CEB">
        <w:tc>
          <w:tcPr>
            <w:tcW w:w="594" w:type="dxa"/>
            <w:vAlign w:val="center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6C0DF4">
              <w:rPr>
                <w:sz w:val="28"/>
              </w:rPr>
              <w:lastRenderedPageBreak/>
              <w:t>№ п/п</w:t>
            </w:r>
          </w:p>
        </w:tc>
        <w:tc>
          <w:tcPr>
            <w:tcW w:w="1958" w:type="dxa"/>
            <w:vAlign w:val="center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Регистрационный номер обращения, заявления, уведомления</w:t>
            </w:r>
          </w:p>
        </w:tc>
        <w:tc>
          <w:tcPr>
            <w:tcW w:w="1843" w:type="dxa"/>
            <w:vAlign w:val="center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Дата поступления обращения, заявления, уведомления</w:t>
            </w:r>
          </w:p>
        </w:tc>
        <w:tc>
          <w:tcPr>
            <w:tcW w:w="2835" w:type="dxa"/>
            <w:vAlign w:val="center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Ф.И.О. и должность муниципального служащего (гражданина, замещавшего должность муниципальной службы)</w:t>
            </w:r>
          </w:p>
        </w:tc>
        <w:tc>
          <w:tcPr>
            <w:tcW w:w="3118" w:type="dxa"/>
            <w:vAlign w:val="center"/>
          </w:tcPr>
          <w:p w:rsidR="00A56CEB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Краткое содержание обращения, заявления, уведомления; сведения о принятом решении</w:t>
            </w:r>
          </w:p>
        </w:tc>
      </w:tr>
      <w:tr w:rsidR="00A56CEB" w:rsidRPr="006C0DF4" w:rsidTr="00A56CEB">
        <w:tc>
          <w:tcPr>
            <w:tcW w:w="594" w:type="dxa"/>
          </w:tcPr>
          <w:p w:rsidR="00A56CEB" w:rsidRPr="00F77192" w:rsidRDefault="00A56CEB" w:rsidP="00232ABE">
            <w:pPr>
              <w:autoSpaceDE w:val="0"/>
              <w:autoSpaceDN w:val="0"/>
              <w:adjustRightInd w:val="0"/>
              <w:jc w:val="center"/>
            </w:pPr>
            <w:r w:rsidRPr="00F77192">
              <w:t>1</w:t>
            </w:r>
          </w:p>
        </w:tc>
        <w:tc>
          <w:tcPr>
            <w:tcW w:w="1958" w:type="dxa"/>
          </w:tcPr>
          <w:p w:rsidR="00A56CEB" w:rsidRPr="00F77192" w:rsidRDefault="00A56CEB" w:rsidP="00232ABE">
            <w:pPr>
              <w:autoSpaceDE w:val="0"/>
              <w:autoSpaceDN w:val="0"/>
              <w:adjustRightInd w:val="0"/>
              <w:jc w:val="center"/>
            </w:pPr>
            <w:r w:rsidRPr="00F77192">
              <w:t>2</w:t>
            </w:r>
          </w:p>
        </w:tc>
        <w:tc>
          <w:tcPr>
            <w:tcW w:w="1843" w:type="dxa"/>
          </w:tcPr>
          <w:p w:rsidR="00A56CEB" w:rsidRPr="00F77192" w:rsidRDefault="00A56CEB" w:rsidP="00232ABE">
            <w:pPr>
              <w:autoSpaceDE w:val="0"/>
              <w:autoSpaceDN w:val="0"/>
              <w:adjustRightInd w:val="0"/>
              <w:jc w:val="center"/>
            </w:pPr>
            <w:r w:rsidRPr="00F77192">
              <w:t>3</w:t>
            </w:r>
          </w:p>
        </w:tc>
        <w:tc>
          <w:tcPr>
            <w:tcW w:w="2835" w:type="dxa"/>
          </w:tcPr>
          <w:p w:rsidR="00A56CEB" w:rsidRPr="00F77192" w:rsidRDefault="00A56CEB" w:rsidP="00232ABE">
            <w:pPr>
              <w:autoSpaceDE w:val="0"/>
              <w:autoSpaceDN w:val="0"/>
              <w:adjustRightInd w:val="0"/>
              <w:jc w:val="center"/>
            </w:pPr>
            <w:r w:rsidRPr="00F77192">
              <w:t>4</w:t>
            </w:r>
          </w:p>
        </w:tc>
        <w:tc>
          <w:tcPr>
            <w:tcW w:w="3118" w:type="dxa"/>
          </w:tcPr>
          <w:p w:rsidR="00A56CEB" w:rsidRPr="00F77192" w:rsidRDefault="00A56CEB" w:rsidP="00232A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6CEB" w:rsidRPr="006C0DF4" w:rsidTr="00A56CEB">
        <w:trPr>
          <w:trHeight w:val="1981"/>
        </w:trPr>
        <w:tc>
          <w:tcPr>
            <w:tcW w:w="594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56CEB" w:rsidRPr="006C0DF4" w:rsidTr="00A56CEB">
        <w:trPr>
          <w:trHeight w:val="1981"/>
        </w:trPr>
        <w:tc>
          <w:tcPr>
            <w:tcW w:w="594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56CEB" w:rsidRPr="006C0DF4" w:rsidTr="00A56CEB">
        <w:trPr>
          <w:trHeight w:val="1981"/>
        </w:trPr>
        <w:tc>
          <w:tcPr>
            <w:tcW w:w="594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56CEB" w:rsidRPr="006C0DF4" w:rsidTr="00A56CEB">
        <w:trPr>
          <w:trHeight w:val="1981"/>
        </w:trPr>
        <w:tc>
          <w:tcPr>
            <w:tcW w:w="594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A56CEB" w:rsidRPr="006C0DF4" w:rsidTr="00A56CEB">
        <w:trPr>
          <w:trHeight w:val="1981"/>
        </w:trPr>
        <w:tc>
          <w:tcPr>
            <w:tcW w:w="594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95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  <w:tc>
          <w:tcPr>
            <w:tcW w:w="3118" w:type="dxa"/>
          </w:tcPr>
          <w:p w:rsidR="00A56CEB" w:rsidRPr="006C0DF4" w:rsidRDefault="00A56CEB" w:rsidP="00232ABE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:rsidR="00EE38C3" w:rsidRPr="009D0AAE" w:rsidRDefault="00EE38C3" w:rsidP="00B63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151" w:rsidRPr="009D0AAE" w:rsidRDefault="000D5151" w:rsidP="00B639F2">
      <w:pPr>
        <w:rPr>
          <w:color w:val="000000" w:themeColor="text1"/>
          <w:sz w:val="28"/>
          <w:szCs w:val="28"/>
        </w:rPr>
        <w:sectPr w:rsidR="000D5151" w:rsidRPr="009D0AAE" w:rsidSect="0003332B">
          <w:pgSz w:w="11905" w:h="16838"/>
          <w:pgMar w:top="1134" w:right="850" w:bottom="1134" w:left="1701" w:header="709" w:footer="0" w:gutter="0"/>
          <w:cols w:space="720"/>
          <w:docGrid w:linePitch="272"/>
        </w:sectPr>
      </w:pPr>
    </w:p>
    <w:p w:rsidR="000D5151" w:rsidRPr="009D0AAE" w:rsidRDefault="000D5151" w:rsidP="00B639F2">
      <w:pPr>
        <w:autoSpaceDE w:val="0"/>
        <w:autoSpaceDN w:val="0"/>
        <w:adjustRightInd w:val="0"/>
        <w:ind w:left="851"/>
        <w:jc w:val="center"/>
        <w:outlineLvl w:val="0"/>
        <w:rPr>
          <w:b/>
          <w:color w:val="000000" w:themeColor="text1"/>
          <w:sz w:val="24"/>
          <w:szCs w:val="24"/>
        </w:rPr>
      </w:pPr>
      <w:r w:rsidRPr="009D0AAE">
        <w:rPr>
          <w:b/>
          <w:color w:val="000000" w:themeColor="text1"/>
          <w:sz w:val="24"/>
          <w:szCs w:val="24"/>
        </w:rPr>
        <w:lastRenderedPageBreak/>
        <w:t>Лист ознакомления с Порядком уведомления муниципальными служащими аппарата Контрольно-счетной палаты Петропавловск-Камчатского городского округа представителя нанимателя о возникновении личной заинтересованности, которая приводит или может привести к конфликту интересов</w:t>
      </w:r>
    </w:p>
    <w:tbl>
      <w:tblPr>
        <w:tblW w:w="9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701"/>
        <w:gridCol w:w="1843"/>
      </w:tblGrid>
      <w:tr w:rsidR="009D0AAE" w:rsidRPr="009D0AAE" w:rsidTr="000D5151">
        <w:tc>
          <w:tcPr>
            <w:tcW w:w="567" w:type="dxa"/>
            <w:vAlign w:val="center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Ф.И.О. муниципального служащего </w:t>
            </w:r>
          </w:p>
        </w:tc>
        <w:tc>
          <w:tcPr>
            <w:tcW w:w="1701" w:type="dxa"/>
            <w:vAlign w:val="center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Дата ознакомления</w:t>
            </w:r>
          </w:p>
        </w:tc>
        <w:tc>
          <w:tcPr>
            <w:tcW w:w="1843" w:type="dxa"/>
            <w:vAlign w:val="center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D0AAE" w:rsidRPr="009D0AAE" w:rsidTr="000D5151">
        <w:tc>
          <w:tcPr>
            <w:tcW w:w="567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D0AAE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51" w:rsidRPr="009D0AAE" w:rsidRDefault="000D5151" w:rsidP="00B639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160F7" w:rsidRPr="009D0AAE" w:rsidRDefault="00101307" w:rsidP="00B639F2">
      <w:pPr>
        <w:rPr>
          <w:color w:val="000000" w:themeColor="text1"/>
          <w:sz w:val="28"/>
          <w:szCs w:val="28"/>
        </w:rPr>
      </w:pPr>
    </w:p>
    <w:sectPr w:rsidR="00F160F7" w:rsidRPr="009D0AAE" w:rsidSect="0003332B">
      <w:pgSz w:w="11905" w:h="16838"/>
      <w:pgMar w:top="1134" w:right="565" w:bottom="1134" w:left="851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07" w:rsidRDefault="00101307" w:rsidP="0003332B">
      <w:r>
        <w:separator/>
      </w:r>
    </w:p>
  </w:endnote>
  <w:endnote w:type="continuationSeparator" w:id="0">
    <w:p w:rsidR="00101307" w:rsidRDefault="00101307" w:rsidP="0003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07" w:rsidRDefault="00101307" w:rsidP="0003332B">
      <w:r>
        <w:separator/>
      </w:r>
    </w:p>
  </w:footnote>
  <w:footnote w:type="continuationSeparator" w:id="0">
    <w:p w:rsidR="00101307" w:rsidRDefault="00101307" w:rsidP="0003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06030"/>
      <w:docPartObj>
        <w:docPartGallery w:val="Page Numbers (Top of Page)"/>
        <w:docPartUnique/>
      </w:docPartObj>
    </w:sdtPr>
    <w:sdtEndPr/>
    <w:sdtContent>
      <w:p w:rsidR="0003332B" w:rsidRDefault="00033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AB">
          <w:rPr>
            <w:noProof/>
          </w:rPr>
          <w:t>8</w:t>
        </w:r>
        <w:r>
          <w:fldChar w:fldCharType="end"/>
        </w:r>
      </w:p>
    </w:sdtContent>
  </w:sdt>
  <w:p w:rsidR="0003332B" w:rsidRDefault="000333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3"/>
    <w:rsid w:val="0003332B"/>
    <w:rsid w:val="000639F6"/>
    <w:rsid w:val="0008200F"/>
    <w:rsid w:val="000D5151"/>
    <w:rsid w:val="000E477E"/>
    <w:rsid w:val="00101307"/>
    <w:rsid w:val="001934C7"/>
    <w:rsid w:val="0043742C"/>
    <w:rsid w:val="00795676"/>
    <w:rsid w:val="007E4CAF"/>
    <w:rsid w:val="0089660B"/>
    <w:rsid w:val="00975D05"/>
    <w:rsid w:val="009D0AAE"/>
    <w:rsid w:val="00A56CEB"/>
    <w:rsid w:val="00B639F2"/>
    <w:rsid w:val="00BF7E3C"/>
    <w:rsid w:val="00D33129"/>
    <w:rsid w:val="00E028AB"/>
    <w:rsid w:val="00E30597"/>
    <w:rsid w:val="00E64B4D"/>
    <w:rsid w:val="00E8322A"/>
    <w:rsid w:val="00EE38C3"/>
    <w:rsid w:val="00F7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7629"/>
  <w15:chartTrackingRefBased/>
  <w15:docId w15:val="{60491A9B-5186-4909-95C7-2240AE0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3742C"/>
    <w:pPr>
      <w:ind w:right="5102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3742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3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33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3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EB036FCD71CADC696388B58FDDBBC257719ABB8CD399FD5D1963466FE256DB7FB7842F36BCD7ABB700CC5DD56E1F0C02D6DBCA1145b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9159-2183-4ECB-BBE6-0F61AE78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12</cp:revision>
  <dcterms:created xsi:type="dcterms:W3CDTF">2019-07-02T00:27:00Z</dcterms:created>
  <dcterms:modified xsi:type="dcterms:W3CDTF">2019-07-29T21:48:00Z</dcterms:modified>
</cp:coreProperties>
</file>